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71F2" w14:textId="77777777" w:rsidR="0084156C" w:rsidRPr="001A080B" w:rsidRDefault="0084156C" w:rsidP="00FE11B4">
      <w:pPr>
        <w:spacing w:after="300" w:line="240" w:lineRule="auto"/>
        <w:jc w:val="center"/>
        <w:rPr>
          <w:rFonts w:ascii="Myriad Pro" w:eastAsia="Calibri" w:hAnsi="Myriad Pro" w:cs="Calibri"/>
          <w:b/>
          <w:bCs/>
          <w:sz w:val="40"/>
          <w:szCs w:val="40"/>
          <w:lang w:val="en-US"/>
        </w:rPr>
      </w:pPr>
      <w:bookmarkStart w:id="0" w:name="_Hlk37780379"/>
      <w:bookmarkStart w:id="1" w:name="_Hlk11231789"/>
    </w:p>
    <w:p w14:paraId="406C586F" w14:textId="77777777" w:rsidR="00890186" w:rsidRDefault="00890186" w:rsidP="00890186">
      <w:pPr>
        <w:jc w:val="center"/>
        <w:rPr>
          <w:rFonts w:ascii="Work Sans" w:hAnsi="Work Sans"/>
          <w:b/>
          <w:sz w:val="40"/>
          <w:lang w:val="en-GB"/>
        </w:rPr>
      </w:pPr>
      <w:r>
        <w:rPr>
          <w:rFonts w:ascii="Work Sans" w:hAnsi="Work Sans"/>
          <w:b/>
          <w:sz w:val="40"/>
          <w:lang w:val="en-GB"/>
        </w:rPr>
        <w:t>Alcantara publishes its 13</w:t>
      </w:r>
      <w:r>
        <w:rPr>
          <w:rFonts w:ascii="Work Sans" w:hAnsi="Work Sans"/>
          <w:b/>
          <w:sz w:val="40"/>
          <w:vertAlign w:val="superscript"/>
          <w:lang w:val="en-GB"/>
        </w:rPr>
        <w:t>th</w:t>
      </w:r>
      <w:r>
        <w:rPr>
          <w:rFonts w:ascii="Work Sans" w:hAnsi="Work Sans"/>
          <w:b/>
          <w:sz w:val="40"/>
          <w:lang w:val="en-GB"/>
        </w:rPr>
        <w:t xml:space="preserve"> Annual Sustainability Report</w:t>
      </w:r>
    </w:p>
    <w:p w14:paraId="17897990" w14:textId="77777777" w:rsidR="00890186" w:rsidRDefault="00890186" w:rsidP="00890186">
      <w:pPr>
        <w:jc w:val="center"/>
        <w:rPr>
          <w:rFonts w:ascii="Work Sans" w:hAnsi="Work Sans"/>
          <w:b/>
          <w:sz w:val="40"/>
          <w:lang w:val="en-US"/>
        </w:rPr>
      </w:pPr>
    </w:p>
    <w:p w14:paraId="1009379F" w14:textId="77777777" w:rsidR="00890186" w:rsidRPr="00890186" w:rsidRDefault="00890186" w:rsidP="00890186">
      <w:pPr>
        <w:jc w:val="center"/>
        <w:rPr>
          <w:rFonts w:ascii="Work Sans" w:hAnsi="Work Sans"/>
          <w:b/>
          <w:sz w:val="40"/>
          <w:lang w:val="en-US"/>
        </w:rPr>
      </w:pPr>
    </w:p>
    <w:p w14:paraId="403D062F" w14:textId="33331E5E" w:rsidR="00900F58" w:rsidRDefault="00900F58" w:rsidP="00900F58">
      <w:pPr>
        <w:pStyle w:val="Paragrafoelenco"/>
        <w:numPr>
          <w:ilvl w:val="0"/>
          <w:numId w:val="1"/>
        </w:numPr>
        <w:contextualSpacing/>
        <w:rPr>
          <w:rFonts w:ascii="Work Sans" w:hAnsi="Work Sans"/>
          <w:color w:val="000000"/>
          <w:lang w:val="en-US" w:eastAsia="it-IT"/>
        </w:rPr>
      </w:pPr>
      <w:bookmarkStart w:id="2" w:name="_Hlk113549757"/>
      <w:r w:rsidRPr="00890186">
        <w:rPr>
          <w:rFonts w:ascii="Work Sans" w:hAnsi="Work Sans"/>
          <w:color w:val="000000"/>
          <w:lang w:val="en-US" w:eastAsia="it-IT"/>
        </w:rPr>
        <w:t>13</w:t>
      </w:r>
      <w:r w:rsidRPr="00890186">
        <w:rPr>
          <w:rFonts w:ascii="Work Sans" w:hAnsi="Work Sans"/>
          <w:color w:val="000000"/>
          <w:vertAlign w:val="superscript"/>
          <w:lang w:val="en-US" w:eastAsia="it-IT"/>
        </w:rPr>
        <w:t>th</w:t>
      </w:r>
      <w:r w:rsidRPr="00890186">
        <w:rPr>
          <w:rFonts w:ascii="Work Sans" w:hAnsi="Work Sans"/>
          <w:color w:val="000000"/>
          <w:lang w:val="en-US" w:eastAsia="it-IT"/>
        </w:rPr>
        <w:t xml:space="preserve"> annual certified Sustainability Report as an act of certified transparency (</w:t>
      </w:r>
      <w:hyperlink r:id="rId8" w:history="1">
        <w:r w:rsidRPr="00890186">
          <w:rPr>
            <w:rStyle w:val="Collegamentoipertestuale"/>
            <w:rFonts w:ascii="Work Sans" w:hAnsi="Work Sans"/>
            <w:lang w:val="en-US" w:eastAsia="it-IT"/>
          </w:rPr>
          <w:t>https://sustainabilityreport.alcantara.com/</w:t>
        </w:r>
      </w:hyperlink>
      <w:r w:rsidRPr="00890186">
        <w:rPr>
          <w:rFonts w:ascii="Work Sans" w:hAnsi="Work Sans"/>
          <w:color w:val="000000"/>
          <w:lang w:val="en-US" w:eastAsia="it-IT"/>
        </w:rPr>
        <w:t>).</w:t>
      </w:r>
    </w:p>
    <w:p w14:paraId="4B20C68D" w14:textId="77777777" w:rsidR="00900F58" w:rsidRPr="00900F58" w:rsidRDefault="00900F58" w:rsidP="00900F58">
      <w:pPr>
        <w:contextualSpacing/>
        <w:rPr>
          <w:rFonts w:ascii="Work Sans" w:hAnsi="Work Sans"/>
          <w:color w:val="000000"/>
          <w:lang w:val="en-US" w:eastAsia="it-IT"/>
        </w:rPr>
      </w:pPr>
    </w:p>
    <w:p w14:paraId="6F58C2B8" w14:textId="4A30B1EA" w:rsidR="00900F58" w:rsidRDefault="00900F58" w:rsidP="00900F58">
      <w:pPr>
        <w:pStyle w:val="Paragrafoelenco"/>
        <w:numPr>
          <w:ilvl w:val="0"/>
          <w:numId w:val="1"/>
        </w:numPr>
        <w:contextualSpacing/>
        <w:jc w:val="both"/>
        <w:rPr>
          <w:rFonts w:ascii="Work Sans" w:hAnsi="Work Sans"/>
          <w:color w:val="000000"/>
          <w:lang w:val="en-US" w:eastAsia="it-IT"/>
        </w:rPr>
      </w:pPr>
      <w:r w:rsidRPr="00890186">
        <w:rPr>
          <w:rFonts w:ascii="Work Sans" w:hAnsi="Work Sans"/>
          <w:color w:val="000000"/>
          <w:lang w:val="en-US" w:eastAsia="it-IT"/>
        </w:rPr>
        <w:t>13 years in a row of Carbon Neutrality certification, by</w:t>
      </w:r>
      <w:r w:rsidRPr="00890186">
        <w:rPr>
          <w:lang w:val="en-US"/>
        </w:rPr>
        <w:t xml:space="preserve"> </w:t>
      </w:r>
      <w:r w:rsidRPr="00890186">
        <w:rPr>
          <w:rFonts w:ascii="Work Sans" w:hAnsi="Work Sans"/>
          <w:color w:val="000000"/>
          <w:lang w:val="en-US" w:eastAsia="it-IT"/>
        </w:rPr>
        <w:t xml:space="preserve">TÜV SÜD, an authoritative independent international certification body. </w:t>
      </w:r>
    </w:p>
    <w:p w14:paraId="5CB774CB" w14:textId="77777777" w:rsidR="00900F58" w:rsidRPr="00900F58" w:rsidRDefault="00900F58" w:rsidP="00900F58">
      <w:pPr>
        <w:pStyle w:val="Paragrafoelenco"/>
        <w:rPr>
          <w:rFonts w:ascii="Work Sans" w:hAnsi="Work Sans"/>
          <w:color w:val="000000"/>
          <w:lang w:val="en-US" w:eastAsia="it-IT"/>
        </w:rPr>
      </w:pPr>
    </w:p>
    <w:p w14:paraId="4926487B" w14:textId="77777777" w:rsidR="00900F58" w:rsidRPr="00900F58" w:rsidRDefault="00900F58" w:rsidP="00900F58">
      <w:pPr>
        <w:contextualSpacing/>
        <w:jc w:val="both"/>
        <w:rPr>
          <w:rFonts w:ascii="Work Sans" w:hAnsi="Work Sans"/>
          <w:color w:val="000000"/>
          <w:lang w:val="en-US" w:eastAsia="it-IT"/>
        </w:rPr>
      </w:pPr>
    </w:p>
    <w:p w14:paraId="528AD5A6" w14:textId="255F2DF4" w:rsidR="00900F58" w:rsidRDefault="00900F58" w:rsidP="00900F58">
      <w:pPr>
        <w:pStyle w:val="Paragrafoelenco"/>
        <w:numPr>
          <w:ilvl w:val="0"/>
          <w:numId w:val="1"/>
        </w:numPr>
        <w:contextualSpacing/>
        <w:jc w:val="both"/>
        <w:rPr>
          <w:rFonts w:ascii="Work Sans" w:hAnsi="Work Sans"/>
          <w:color w:val="000000"/>
          <w:lang w:val="en-US" w:eastAsia="it-IT"/>
        </w:rPr>
      </w:pPr>
      <w:r w:rsidRPr="00890186">
        <w:rPr>
          <w:rFonts w:ascii="Work Sans" w:hAnsi="Work Sans"/>
          <w:color w:val="000000"/>
          <w:lang w:val="en-US" w:eastAsia="it-IT"/>
        </w:rPr>
        <w:t>50 Certified and Verified Offsetting projects aimed at producing social and environmental benefits in the poorest and most disadvantaged areas of the world in the past 13 years.</w:t>
      </w:r>
    </w:p>
    <w:p w14:paraId="4F72C1E8" w14:textId="77777777" w:rsidR="00900F58" w:rsidRPr="00900F58" w:rsidRDefault="00900F58" w:rsidP="00900F58">
      <w:pPr>
        <w:contextualSpacing/>
        <w:jc w:val="both"/>
        <w:rPr>
          <w:rFonts w:ascii="Work Sans" w:hAnsi="Work Sans"/>
          <w:color w:val="000000"/>
          <w:lang w:val="en-US" w:eastAsia="it-IT"/>
        </w:rPr>
      </w:pPr>
    </w:p>
    <w:p w14:paraId="4CA78BFA" w14:textId="77777777" w:rsidR="00890186" w:rsidRPr="00890186" w:rsidRDefault="00890186" w:rsidP="00890186">
      <w:pPr>
        <w:pStyle w:val="Paragrafoelenco"/>
        <w:numPr>
          <w:ilvl w:val="0"/>
          <w:numId w:val="1"/>
        </w:numPr>
        <w:autoSpaceDE w:val="0"/>
        <w:autoSpaceDN w:val="0"/>
        <w:adjustRightInd w:val="0"/>
        <w:contextualSpacing/>
        <w:rPr>
          <w:rFonts w:ascii="Work Sans" w:eastAsia="Times New Roman" w:hAnsi="Work Sans"/>
          <w:color w:val="000000"/>
          <w:sz w:val="24"/>
          <w:szCs w:val="24"/>
          <w:lang w:val="en-US" w:eastAsia="it-IT"/>
        </w:rPr>
      </w:pPr>
      <w:r w:rsidRPr="00890186">
        <w:rPr>
          <w:rFonts w:ascii="Work Sans" w:hAnsi="Work Sans"/>
          <w:color w:val="000000"/>
          <w:lang w:val="en-US" w:eastAsia="it-IT"/>
        </w:rPr>
        <w:t>Introduction of new product line deriving from certified post-consumer recycled polyester, covered by Recycled Claim Standard (RCS) certification</w:t>
      </w:r>
      <w:bookmarkEnd w:id="2"/>
      <w:r w:rsidRPr="00890186">
        <w:rPr>
          <w:rFonts w:ascii="Work Sans" w:hAnsi="Work Sans"/>
          <w:color w:val="000000"/>
          <w:lang w:val="en-US" w:eastAsia="it-IT"/>
        </w:rPr>
        <w:t>.</w:t>
      </w:r>
    </w:p>
    <w:p w14:paraId="52B1DF05" w14:textId="77777777" w:rsidR="00890186" w:rsidRPr="00890186" w:rsidRDefault="00890186" w:rsidP="00890186">
      <w:pPr>
        <w:pStyle w:val="Paragrafoelenco"/>
        <w:autoSpaceDE w:val="0"/>
        <w:autoSpaceDN w:val="0"/>
        <w:adjustRightInd w:val="0"/>
        <w:rPr>
          <w:rFonts w:ascii="Work Sans" w:hAnsi="Work Sans"/>
          <w:color w:val="000000"/>
          <w:lang w:val="en-US" w:eastAsia="it-IT"/>
        </w:rPr>
      </w:pPr>
    </w:p>
    <w:p w14:paraId="143A2927" w14:textId="77777777" w:rsidR="00890186" w:rsidRPr="00890186" w:rsidRDefault="00890186" w:rsidP="00890186">
      <w:pPr>
        <w:pStyle w:val="Paragrafoelenco"/>
        <w:jc w:val="both"/>
        <w:rPr>
          <w:rFonts w:ascii="Work Sans" w:hAnsi="Work Sans"/>
          <w:color w:val="000000"/>
          <w:lang w:val="en-US" w:eastAsia="it-IT"/>
        </w:rPr>
      </w:pPr>
    </w:p>
    <w:p w14:paraId="0F253F6B" w14:textId="77777777" w:rsidR="00890186" w:rsidRDefault="00890186" w:rsidP="00890186">
      <w:pPr>
        <w:rPr>
          <w:rFonts w:ascii="Book Antiqua" w:hAnsi="Book Antiqua" w:cs="Calibri"/>
          <w:color w:val="000000"/>
          <w:lang w:val="en-GB" w:eastAsia="it-IT"/>
        </w:rPr>
      </w:pPr>
    </w:p>
    <w:p w14:paraId="1E843BE0" w14:textId="461ABAE4" w:rsidR="00890186" w:rsidRPr="00890186" w:rsidRDefault="00A776F0" w:rsidP="00890186">
      <w:pPr>
        <w:jc w:val="both"/>
        <w:rPr>
          <w:rFonts w:ascii="Work Sans" w:hAnsi="Work Sans" w:cs="Calibri"/>
          <w:color w:val="000000"/>
          <w:lang w:val="en-GB" w:eastAsia="it-IT"/>
        </w:rPr>
      </w:pPr>
      <w:r>
        <w:rPr>
          <w:rFonts w:ascii="Work Sans" w:hAnsi="Work Sans" w:cs="Calibri"/>
          <w:i/>
          <w:iCs/>
          <w:color w:val="000000"/>
          <w:lang w:val="en-GB" w:eastAsia="it-IT"/>
        </w:rPr>
        <w:t>17</w:t>
      </w:r>
      <w:r w:rsidR="00890186">
        <w:rPr>
          <w:rFonts w:ascii="Work Sans" w:hAnsi="Work Sans" w:cs="Calibri"/>
          <w:i/>
          <w:iCs/>
          <w:color w:val="000000"/>
          <w:lang w:val="en-GB" w:eastAsia="it-IT"/>
        </w:rPr>
        <w:t xml:space="preserve"> </w:t>
      </w:r>
      <w:r w:rsidR="003A06EF">
        <w:rPr>
          <w:rFonts w:ascii="Work Sans" w:hAnsi="Work Sans" w:cs="Calibri"/>
          <w:i/>
          <w:iCs/>
          <w:color w:val="000000"/>
          <w:lang w:val="en-GB" w:eastAsia="it-IT"/>
        </w:rPr>
        <w:t xml:space="preserve">October </w:t>
      </w:r>
      <w:r w:rsidR="00890186">
        <w:rPr>
          <w:rFonts w:ascii="Work Sans" w:hAnsi="Work Sans" w:cs="Calibri"/>
          <w:i/>
          <w:iCs/>
          <w:color w:val="000000"/>
          <w:lang w:val="en-GB" w:eastAsia="it-IT"/>
        </w:rPr>
        <w:t xml:space="preserve">2022 </w:t>
      </w:r>
      <w:r w:rsidR="00890186">
        <w:rPr>
          <w:rFonts w:ascii="Work Sans" w:hAnsi="Work Sans" w:cs="Calibri"/>
          <w:color w:val="000000"/>
          <w:lang w:val="en-GB" w:eastAsia="it-IT"/>
        </w:rPr>
        <w:t xml:space="preserve">- </w:t>
      </w:r>
      <w:r w:rsidR="00890186" w:rsidRPr="00890186">
        <w:rPr>
          <w:rFonts w:ascii="Work Sans" w:hAnsi="Work Sans" w:cs="Calibri"/>
          <w:color w:val="000000"/>
          <w:lang w:val="en-US" w:eastAsia="it-IT"/>
        </w:rPr>
        <w:t xml:space="preserve">The newly published Alcantara Sustainability Report, now in its 13th year, is prepared on a voluntary basis and a record of fundamental importance as well as an indispensable part of the engagement for the people, </w:t>
      </w:r>
      <w:proofErr w:type="gramStart"/>
      <w:r w:rsidR="00890186" w:rsidRPr="00890186">
        <w:rPr>
          <w:rFonts w:ascii="Work Sans" w:hAnsi="Work Sans" w:cs="Calibri"/>
          <w:color w:val="000000"/>
          <w:lang w:val="en-US" w:eastAsia="it-IT"/>
        </w:rPr>
        <w:t>suppliers</w:t>
      </w:r>
      <w:proofErr w:type="gramEnd"/>
      <w:r w:rsidR="00890186" w:rsidRPr="00890186">
        <w:rPr>
          <w:rFonts w:ascii="Work Sans" w:hAnsi="Work Sans" w:cs="Calibri"/>
          <w:color w:val="000000"/>
          <w:lang w:val="en-US" w:eastAsia="it-IT"/>
        </w:rPr>
        <w:t xml:space="preserve"> and business partners. It is an act of certified transparency and at the same time a valid self-assessment tool, voluntarily disclosing all initiatives that Alcantara has undertaken and all its </w:t>
      </w:r>
      <w:proofErr w:type="gramStart"/>
      <w:r w:rsidR="00890186" w:rsidRPr="00890186">
        <w:rPr>
          <w:rFonts w:ascii="Work Sans" w:hAnsi="Work Sans" w:cs="Calibri"/>
          <w:color w:val="000000"/>
          <w:lang w:val="en-US" w:eastAsia="it-IT"/>
        </w:rPr>
        <w:t>plans for the future</w:t>
      </w:r>
      <w:proofErr w:type="gramEnd"/>
      <w:r w:rsidR="00890186" w:rsidRPr="00890186">
        <w:rPr>
          <w:rFonts w:ascii="Work Sans" w:hAnsi="Work Sans" w:cs="Calibri"/>
          <w:color w:val="000000"/>
          <w:lang w:val="en-US" w:eastAsia="it-IT"/>
        </w:rPr>
        <w:t xml:space="preserve">. </w:t>
      </w:r>
    </w:p>
    <w:p w14:paraId="5BB01601" w14:textId="77777777" w:rsidR="0025655A" w:rsidRDefault="00890186" w:rsidP="0025655A">
      <w:pPr>
        <w:spacing w:after="0"/>
        <w:jc w:val="both"/>
        <w:rPr>
          <w:rFonts w:ascii="Work Sans" w:hAnsi="Work Sans" w:cs="Calibri"/>
          <w:color w:val="000000"/>
          <w:lang w:val="en-GB" w:eastAsia="it-IT"/>
        </w:rPr>
      </w:pPr>
      <w:r w:rsidRPr="00890186">
        <w:rPr>
          <w:rFonts w:ascii="Work Sans" w:hAnsi="Work Sans" w:cs="Calibri"/>
          <w:color w:val="000000"/>
          <w:lang w:val="en-US" w:eastAsia="it-IT"/>
        </w:rPr>
        <w:t xml:space="preserve">In line with the sustainability and circular economy plans prepared, </w:t>
      </w:r>
      <w:r>
        <w:rPr>
          <w:rFonts w:ascii="Work Sans" w:hAnsi="Work Sans" w:cs="Calibri"/>
          <w:color w:val="000000"/>
          <w:lang w:val="en-GB" w:eastAsia="it-IT"/>
        </w:rPr>
        <w:t xml:space="preserve">Alcantara accelerated its serious path towards special versions of material mated with increasing amount of bio-based polymers and post-consumer, certified, recycled </w:t>
      </w:r>
      <w:proofErr w:type="gramStart"/>
      <w:r>
        <w:rPr>
          <w:rFonts w:ascii="Work Sans" w:hAnsi="Work Sans" w:cs="Calibri"/>
          <w:color w:val="000000"/>
          <w:lang w:val="en-GB" w:eastAsia="it-IT"/>
        </w:rPr>
        <w:t>polyester.*</w:t>
      </w:r>
      <w:proofErr w:type="gramEnd"/>
      <w:r>
        <w:rPr>
          <w:rFonts w:ascii="Work Sans" w:hAnsi="Work Sans" w:cs="Calibri"/>
          <w:color w:val="000000"/>
          <w:lang w:val="en-GB" w:eastAsia="it-IT"/>
        </w:rPr>
        <w:t xml:space="preserve"> </w:t>
      </w:r>
    </w:p>
    <w:p w14:paraId="35ED16FB" w14:textId="415E5A04" w:rsidR="0025655A" w:rsidRDefault="00890186" w:rsidP="0025655A">
      <w:pPr>
        <w:spacing w:after="0"/>
        <w:jc w:val="both"/>
        <w:rPr>
          <w:rFonts w:ascii="Work Sans" w:hAnsi="Work Sans" w:cs="Calibri"/>
          <w:color w:val="000000"/>
          <w:lang w:val="en-US" w:eastAsia="it-IT"/>
        </w:rPr>
      </w:pPr>
      <w:r>
        <w:rPr>
          <w:rFonts w:ascii="Work Sans" w:hAnsi="Work Sans" w:cs="Calibri"/>
          <w:color w:val="000000"/>
          <w:lang w:val="en-GB" w:eastAsia="it-IT"/>
        </w:rPr>
        <w:t>The aim of the Company is to progressively increase the use of bio-based and recycled post-consumer polymers while also reducing the consumption of polymers derived from fossil fuels.</w:t>
      </w:r>
      <w:bookmarkStart w:id="3" w:name="_Hlk113549851"/>
      <w:r w:rsidRPr="00890186">
        <w:rPr>
          <w:rFonts w:ascii="Work Sans" w:hAnsi="Work Sans" w:cs="Calibri"/>
          <w:color w:val="000000"/>
          <w:lang w:val="en-US" w:eastAsia="it-IT"/>
        </w:rPr>
        <w:t>T</w:t>
      </w:r>
      <w:r>
        <w:rPr>
          <w:rFonts w:ascii="Work Sans" w:hAnsi="Work Sans" w:cs="Calibri"/>
          <w:color w:val="000000"/>
          <w:lang w:val="en-GB" w:eastAsia="it-IT"/>
        </w:rPr>
        <w:t>he special version, deriving from certified post – consumer recycled polyester, is entirely produced by certified and traceable recycled polyester, produced in Europe, through a mechanical process, from post-consumers scraps.</w:t>
      </w:r>
      <w:bookmarkEnd w:id="3"/>
      <w:r w:rsidRPr="00890186">
        <w:rPr>
          <w:rFonts w:ascii="Work Sans" w:hAnsi="Work Sans" w:cs="Calibri"/>
          <w:color w:val="000000"/>
          <w:lang w:val="en-US" w:eastAsia="it-IT"/>
        </w:rPr>
        <w:t xml:space="preserve">Recycled polymers, are obtained from recycling waste material, thus </w:t>
      </w:r>
      <w:r w:rsidRPr="00890186">
        <w:rPr>
          <w:rFonts w:ascii="Work Sans" w:hAnsi="Work Sans" w:cs="Calibri"/>
          <w:color w:val="000000"/>
          <w:lang w:val="en-US" w:eastAsia="it-IT"/>
        </w:rPr>
        <w:lastRenderedPageBreak/>
        <w:t xml:space="preserve">preventing the plastic being sent to landfill, incinerated, or discharged into the ocean, giving non-biodegradable materials a second life. </w:t>
      </w:r>
    </w:p>
    <w:p w14:paraId="13F6AC05" w14:textId="7DB20E23" w:rsidR="00890186" w:rsidRDefault="00890186" w:rsidP="0025655A">
      <w:pPr>
        <w:spacing w:after="0"/>
        <w:jc w:val="both"/>
        <w:rPr>
          <w:rFonts w:ascii="Work Sans" w:hAnsi="Work Sans" w:cs="Calibri"/>
          <w:color w:val="000000"/>
          <w:lang w:val="en-US" w:eastAsia="it-IT"/>
        </w:rPr>
      </w:pPr>
      <w:r w:rsidRPr="00890186">
        <w:rPr>
          <w:rFonts w:ascii="Work Sans" w:hAnsi="Work Sans" w:cs="Calibri"/>
          <w:color w:val="000000"/>
          <w:lang w:val="en-US" w:eastAsia="it-IT"/>
        </w:rPr>
        <w:t xml:space="preserve">For this special version, Alcantara has obtained from ICEA </w:t>
      </w:r>
      <w:r w:rsidRPr="0025655A">
        <w:rPr>
          <w:rFonts w:ascii="Work Sans" w:hAnsi="Work Sans" w:cs="Calibri"/>
          <w:color w:val="000000"/>
          <w:lang w:val="en-US" w:eastAsia="it-IT"/>
        </w:rPr>
        <w:t>the Recycled Claim Standard (RCS) certification</w:t>
      </w:r>
      <w:r w:rsidR="00900F58" w:rsidRPr="0025655A">
        <w:rPr>
          <w:rFonts w:ascii="Work Sans" w:hAnsi="Work Sans" w:cs="Calibri"/>
          <w:color w:val="000000"/>
          <w:lang w:val="en-US" w:eastAsia="it-IT"/>
        </w:rPr>
        <w:t>, an international standard that set requirements for third-party certification of recycled input and chain of custody.</w:t>
      </w:r>
    </w:p>
    <w:p w14:paraId="32D5633B" w14:textId="77777777" w:rsidR="0025655A" w:rsidRPr="0025655A" w:rsidRDefault="0025655A" w:rsidP="0025655A">
      <w:pPr>
        <w:spacing w:after="0"/>
        <w:jc w:val="both"/>
        <w:rPr>
          <w:rFonts w:ascii="Work Sans" w:hAnsi="Work Sans" w:cs="Calibri"/>
          <w:color w:val="000000"/>
          <w:lang w:val="en-GB" w:eastAsia="it-IT"/>
        </w:rPr>
      </w:pPr>
    </w:p>
    <w:p w14:paraId="5448439A" w14:textId="15E038DB" w:rsidR="0025655A" w:rsidRDefault="00890186" w:rsidP="0025655A">
      <w:pPr>
        <w:jc w:val="both"/>
        <w:rPr>
          <w:rFonts w:ascii="Work Sans" w:hAnsi="Work Sans" w:cs="Calibri"/>
          <w:color w:val="000000"/>
          <w:lang w:val="en-US" w:eastAsia="it-IT"/>
        </w:rPr>
      </w:pPr>
      <w:r w:rsidRPr="00890186">
        <w:rPr>
          <w:rFonts w:ascii="Work Sans" w:hAnsi="Work Sans" w:cs="Calibri"/>
          <w:color w:val="000000"/>
          <w:lang w:val="en-US" w:eastAsia="it-IT"/>
        </w:rPr>
        <w:t>The report</w:t>
      </w:r>
      <w:r w:rsidR="00FD717F">
        <w:rPr>
          <w:rFonts w:ascii="Work Sans" w:hAnsi="Work Sans" w:cs="Calibri"/>
          <w:color w:val="000000"/>
          <w:lang w:val="en-US" w:eastAsia="it-IT"/>
        </w:rPr>
        <w:t xml:space="preserve">, </w:t>
      </w:r>
      <w:r w:rsidR="00FD717F" w:rsidRPr="00FD717F">
        <w:rPr>
          <w:rFonts w:ascii="Work Sans" w:hAnsi="Work Sans" w:cs="Calibri"/>
          <w:color w:val="000000"/>
          <w:lang w:val="en-US" w:eastAsia="it-IT"/>
        </w:rPr>
        <w:t>personalized</w:t>
      </w:r>
      <w:r w:rsidR="00FD717F">
        <w:rPr>
          <w:rFonts w:ascii="Work Sans" w:hAnsi="Work Sans" w:cs="Calibri"/>
          <w:color w:val="000000"/>
          <w:lang w:val="en-US" w:eastAsia="it-IT"/>
        </w:rPr>
        <w:t xml:space="preserve"> </w:t>
      </w:r>
      <w:r w:rsidR="00FD717F" w:rsidRPr="00FD717F">
        <w:rPr>
          <w:rFonts w:ascii="Work Sans" w:hAnsi="Work Sans" w:cs="Calibri"/>
          <w:color w:val="000000"/>
          <w:lang w:val="en-US" w:eastAsia="it-IT"/>
        </w:rPr>
        <w:t xml:space="preserve">using </w:t>
      </w:r>
      <w:r w:rsidR="00B47AC1">
        <w:rPr>
          <w:rFonts w:ascii="Work Sans" w:hAnsi="Work Sans" w:cs="Calibri"/>
          <w:color w:val="000000"/>
          <w:lang w:val="en-US" w:eastAsia="it-IT"/>
        </w:rPr>
        <w:t>such</w:t>
      </w:r>
      <w:r w:rsidR="00AF3C9D" w:rsidRPr="0025655A">
        <w:rPr>
          <w:rFonts w:ascii="Work Sans" w:hAnsi="Work Sans" w:cs="Calibri"/>
          <w:color w:val="000000"/>
          <w:lang w:val="en-US" w:eastAsia="it-IT"/>
        </w:rPr>
        <w:t xml:space="preserve"> </w:t>
      </w:r>
      <w:r w:rsidR="00D22699">
        <w:rPr>
          <w:rFonts w:ascii="Work Sans" w:hAnsi="Work Sans" w:cs="Calibri"/>
          <w:color w:val="000000"/>
          <w:lang w:val="en-US" w:eastAsia="it-IT"/>
        </w:rPr>
        <w:t xml:space="preserve">a </w:t>
      </w:r>
      <w:r w:rsidR="00FD717F" w:rsidRPr="00FD717F">
        <w:rPr>
          <w:rFonts w:ascii="Work Sans" w:hAnsi="Work Sans" w:cs="Calibri"/>
          <w:color w:val="000000"/>
          <w:lang w:val="en-US" w:eastAsia="it-IT"/>
        </w:rPr>
        <w:t>special version of Alcantara</w:t>
      </w:r>
      <w:r w:rsidR="00FD717F">
        <w:rPr>
          <w:rFonts w:ascii="Work Sans" w:hAnsi="Work Sans" w:cs="Calibri"/>
          <w:color w:val="000000"/>
          <w:lang w:val="en-US" w:eastAsia="it-IT"/>
        </w:rPr>
        <w:t xml:space="preserve"> </w:t>
      </w:r>
      <w:r w:rsidR="00FD717F" w:rsidRPr="00FD717F">
        <w:rPr>
          <w:rFonts w:ascii="Work Sans" w:hAnsi="Work Sans" w:cs="Calibri"/>
          <w:color w:val="000000"/>
          <w:lang w:val="en-US" w:eastAsia="it-IT"/>
        </w:rPr>
        <w:t>material,</w:t>
      </w:r>
      <w:r w:rsidR="0025655A">
        <w:rPr>
          <w:rFonts w:ascii="Work Sans" w:hAnsi="Work Sans" w:cs="Calibri"/>
          <w:color w:val="000000"/>
          <w:lang w:val="en-US" w:eastAsia="it-IT"/>
        </w:rPr>
        <w:t xml:space="preserve"> </w:t>
      </w:r>
      <w:r w:rsidRPr="00890186">
        <w:rPr>
          <w:rFonts w:ascii="Work Sans" w:hAnsi="Work Sans" w:cs="Calibri"/>
          <w:color w:val="000000"/>
          <w:lang w:val="en-US" w:eastAsia="it-IT"/>
        </w:rPr>
        <w:t>shows all initiatives of the company with a fact-based approach, certifying each one of its steps towards sustainability while seeking maximum transparency and staying away from any possible declarations.</w:t>
      </w:r>
    </w:p>
    <w:p w14:paraId="3D8CF67D" w14:textId="1CD28BC2" w:rsidR="00890186" w:rsidRPr="00890186" w:rsidRDefault="00890186" w:rsidP="0025655A">
      <w:pPr>
        <w:jc w:val="both"/>
        <w:rPr>
          <w:rFonts w:ascii="Work Sans" w:hAnsi="Work Sans" w:cs="Calibri"/>
          <w:color w:val="000000"/>
          <w:lang w:val="en-US" w:eastAsia="it-IT"/>
        </w:rPr>
      </w:pPr>
      <w:r w:rsidRPr="00890186">
        <w:rPr>
          <w:rFonts w:ascii="Work Sans" w:hAnsi="Work Sans" w:cs="Calibri"/>
          <w:color w:val="000000"/>
          <w:lang w:val="en-US" w:eastAsia="it-IT"/>
        </w:rPr>
        <w:t>In fact, Alcantara was the first Italian industrial company, and among the very few in the world, to achieve Carbon Neutral status, since 2009, certified by</w:t>
      </w:r>
      <w:r w:rsidRPr="00890186">
        <w:rPr>
          <w:lang w:val="en-US"/>
        </w:rPr>
        <w:t xml:space="preserve"> </w:t>
      </w:r>
      <w:r w:rsidRPr="00890186">
        <w:rPr>
          <w:rFonts w:ascii="Work Sans" w:hAnsi="Work Sans" w:cs="Calibri"/>
          <w:color w:val="000000"/>
          <w:lang w:val="en-US" w:eastAsia="it-IT"/>
        </w:rPr>
        <w:t>TÜV SÜD. With the ‘cradle-to-grave’ approach that defines and summarizes the action Alcantara designed to manage the fight against climate change; the Company, in fact, measures all CO</w:t>
      </w:r>
      <w:r w:rsidRPr="00890186">
        <w:rPr>
          <w:rFonts w:ascii="Work Sans" w:hAnsi="Work Sans" w:cs="Calibri"/>
          <w:color w:val="000000"/>
          <w:vertAlign w:val="subscript"/>
          <w:lang w:val="en-US" w:eastAsia="it-IT"/>
        </w:rPr>
        <w:t>2</w:t>
      </w:r>
      <w:r w:rsidRPr="00890186">
        <w:rPr>
          <w:rFonts w:ascii="Work Sans" w:hAnsi="Work Sans" w:cs="Calibri"/>
          <w:color w:val="000000"/>
          <w:lang w:val="en-US" w:eastAsia="it-IT"/>
        </w:rPr>
        <w:t xml:space="preserve"> emissions including every phase of product life cycle, from raw materials to the production process, up to the use and end of life, putting in place measures for their reduction and offsetting the residual emissions.</w:t>
      </w:r>
    </w:p>
    <w:p w14:paraId="63D8EDC7" w14:textId="77777777" w:rsidR="00890186" w:rsidRPr="00890186" w:rsidRDefault="00890186" w:rsidP="00890186">
      <w:pPr>
        <w:spacing w:after="200" w:line="276" w:lineRule="auto"/>
        <w:rPr>
          <w:rFonts w:ascii="Work Sans" w:hAnsi="Work Sans" w:cs="Calibri"/>
          <w:color w:val="000000"/>
          <w:lang w:val="en-US" w:eastAsia="it-IT"/>
        </w:rPr>
      </w:pPr>
      <w:r w:rsidRPr="00890186">
        <w:rPr>
          <w:rFonts w:ascii="Work Sans" w:hAnsi="Work Sans" w:cs="Calibri"/>
          <w:color w:val="000000"/>
          <w:lang w:val="en-US" w:eastAsia="it-IT"/>
        </w:rPr>
        <w:t>The Certified and Verified Offsetting Projects Alcantara participates in, to offset its residual emissions, are all aimed at expanding the use of the renewable energy resources and producing social and environmental benefits, improving social conditions in the poorest and most disadvantaged areas of the world, while avoiding or removing greenhouse gases emissions. In the past 13 years, in particular, Alcantara supported a total of 50 projects (</w:t>
      </w:r>
      <w:proofErr w:type="gramStart"/>
      <w:r w:rsidRPr="00890186">
        <w:rPr>
          <w:rFonts w:ascii="Work Sans" w:hAnsi="Work Sans" w:cs="Calibri"/>
          <w:color w:val="000000"/>
          <w:lang w:val="en-US" w:eastAsia="it-IT"/>
        </w:rPr>
        <w:t>e.g.</w:t>
      </w:r>
      <w:proofErr w:type="gramEnd"/>
      <w:r w:rsidRPr="00890186">
        <w:rPr>
          <w:rFonts w:ascii="Work Sans" w:hAnsi="Work Sans" w:cs="Calibri"/>
          <w:color w:val="000000"/>
          <w:lang w:val="en-US" w:eastAsia="it-IT"/>
        </w:rPr>
        <w:t xml:space="preserve"> hydroelectric, photovoltaic, wind power, biomass) in more than 20 different countries (e.g. India, Uganda, Turkey, Ghana). </w:t>
      </w:r>
    </w:p>
    <w:p w14:paraId="1426D95E" w14:textId="77777777" w:rsidR="00890186" w:rsidRPr="00890186" w:rsidRDefault="00890186" w:rsidP="00890186">
      <w:pPr>
        <w:jc w:val="both"/>
        <w:rPr>
          <w:rFonts w:ascii="Work Sans" w:hAnsi="Work Sans" w:cs="Calibri"/>
          <w:color w:val="000000"/>
          <w:lang w:val="en-US" w:eastAsia="it-IT"/>
        </w:rPr>
      </w:pPr>
      <w:r w:rsidRPr="00890186">
        <w:rPr>
          <w:rFonts w:ascii="Work Sans" w:hAnsi="Work Sans" w:cs="Calibri"/>
          <w:color w:val="000000"/>
          <w:lang w:val="en-US" w:eastAsia="it-IT"/>
        </w:rPr>
        <w:t>For the Fiscal Year 2022, the offset emissions amounted to 42,461 tons of CO</w:t>
      </w:r>
      <w:r w:rsidRPr="00890186">
        <w:rPr>
          <w:rFonts w:ascii="Work Sans" w:hAnsi="Work Sans" w:cs="Calibri"/>
          <w:color w:val="000000"/>
          <w:vertAlign w:val="subscript"/>
          <w:lang w:val="en-US" w:eastAsia="it-IT"/>
        </w:rPr>
        <w:t xml:space="preserve">2 </w:t>
      </w:r>
      <w:r w:rsidRPr="00890186">
        <w:rPr>
          <w:rFonts w:ascii="Work Sans" w:hAnsi="Work Sans" w:cs="Calibri"/>
          <w:color w:val="000000"/>
          <w:lang w:val="en-US" w:eastAsia="it-IT"/>
        </w:rPr>
        <w:t>emissions, while the company was able to avoid 15,272 tons of CO</w:t>
      </w:r>
      <w:r w:rsidRPr="00890186">
        <w:rPr>
          <w:rFonts w:ascii="Work Sans" w:hAnsi="Work Sans" w:cs="Calibri"/>
          <w:color w:val="000000"/>
          <w:vertAlign w:val="subscript"/>
          <w:lang w:val="en-US" w:eastAsia="it-IT"/>
        </w:rPr>
        <w:t>2</w:t>
      </w:r>
      <w:r w:rsidRPr="00890186">
        <w:rPr>
          <w:rFonts w:ascii="Work Sans" w:hAnsi="Work Sans" w:cs="Calibri"/>
          <w:color w:val="000000"/>
          <w:lang w:val="en-US" w:eastAsia="it-IT"/>
        </w:rPr>
        <w:t xml:space="preserve"> thanks to cogeneration and trigeneration plants. </w:t>
      </w:r>
    </w:p>
    <w:p w14:paraId="12743C04" w14:textId="409D675D" w:rsidR="00890186" w:rsidRPr="00890186" w:rsidRDefault="00890186" w:rsidP="00890186">
      <w:pPr>
        <w:jc w:val="both"/>
        <w:rPr>
          <w:rFonts w:ascii="Work Sans" w:hAnsi="Work Sans" w:cs="Calibri"/>
          <w:color w:val="000000"/>
          <w:lang w:val="en-US" w:eastAsia="it-IT"/>
        </w:rPr>
      </w:pPr>
      <w:r w:rsidRPr="00890186">
        <w:rPr>
          <w:rFonts w:ascii="Work Sans" w:hAnsi="Work Sans" w:cs="Calibri"/>
          <w:color w:val="000000"/>
          <w:lang w:val="en-US" w:eastAsia="it-IT"/>
        </w:rPr>
        <w:t>Moreover, 49% of waste are allocated for recovery and 419,000 m</w:t>
      </w:r>
      <w:r w:rsidRPr="00890186">
        <w:rPr>
          <w:rFonts w:ascii="Work Sans" w:hAnsi="Work Sans" w:cs="Calibri"/>
          <w:color w:val="000000"/>
          <w:vertAlign w:val="superscript"/>
          <w:lang w:val="en-US" w:eastAsia="it-IT"/>
        </w:rPr>
        <w:t>3</w:t>
      </w:r>
      <w:r w:rsidRPr="00890186">
        <w:rPr>
          <w:rFonts w:ascii="Work Sans" w:hAnsi="Work Sans" w:cs="Calibri"/>
          <w:color w:val="000000"/>
          <w:lang w:val="en-US" w:eastAsia="it-IT"/>
        </w:rPr>
        <w:t xml:space="preserve"> of industrial water at the plant are retaken. </w:t>
      </w:r>
    </w:p>
    <w:p w14:paraId="257C3882" w14:textId="050FC437" w:rsidR="00890186" w:rsidRPr="0038739B" w:rsidRDefault="00890186" w:rsidP="0038739B">
      <w:pPr>
        <w:rPr>
          <w:lang w:val="en-US"/>
        </w:rPr>
      </w:pPr>
      <w:r w:rsidRPr="007237CF">
        <w:rPr>
          <w:rFonts w:ascii="Work Sans" w:hAnsi="Work Sans" w:cs="Calibri"/>
          <w:color w:val="000000"/>
          <w:lang w:val="en-US" w:eastAsia="it-IT"/>
        </w:rPr>
        <w:t>„</w:t>
      </w:r>
      <w:r w:rsidR="00EA51A0" w:rsidRPr="00EA51A0">
        <w:rPr>
          <w:rFonts w:ascii="Work Sans" w:hAnsi="Work Sans" w:cs="Calibri"/>
          <w:color w:val="000000"/>
          <w:lang w:val="en-US" w:eastAsia="it-IT"/>
        </w:rPr>
        <w:t>We wish to underline that sustainability is the most critical issue of our times. That’s why it is a core value deeply rooted in our corporate culture and an important growth driver of our business strategy development. Sustainability is a purpose that should be embraced on a global scale: there is no other way</w:t>
      </w:r>
      <w:r w:rsidRPr="00890186">
        <w:rPr>
          <w:rFonts w:ascii="Work Sans" w:hAnsi="Work Sans" w:cs="Calibri"/>
          <w:color w:val="000000"/>
          <w:lang w:val="en-US" w:eastAsia="it-IT"/>
        </w:rPr>
        <w:t>”, declares Andrea Boragno, Chairman and CEO of Alcantara S.p.A. in the Chairman’s Letter to Stakeholders in the 2022 Sustainability Report.</w:t>
      </w:r>
    </w:p>
    <w:p w14:paraId="2990AC2B" w14:textId="77777777" w:rsidR="00890186" w:rsidRPr="00890186" w:rsidRDefault="00890186" w:rsidP="00890186">
      <w:pPr>
        <w:jc w:val="both"/>
        <w:rPr>
          <w:rFonts w:ascii="Work Sans" w:hAnsi="Work Sans" w:cs="Calibri"/>
          <w:color w:val="000000"/>
          <w:lang w:val="en-US" w:eastAsia="it-IT"/>
        </w:rPr>
      </w:pPr>
    </w:p>
    <w:p w14:paraId="2E29B867" w14:textId="77777777" w:rsidR="00890186" w:rsidRPr="00890186" w:rsidRDefault="00890186" w:rsidP="00890186">
      <w:pPr>
        <w:jc w:val="both"/>
        <w:rPr>
          <w:rFonts w:ascii="Work Sans" w:hAnsi="Work Sans" w:cs="Calibri"/>
          <w:color w:val="000000"/>
          <w:lang w:val="en-US" w:eastAsia="it-IT"/>
        </w:rPr>
      </w:pPr>
      <w:r w:rsidRPr="00890186">
        <w:rPr>
          <w:rFonts w:ascii="Work Sans" w:hAnsi="Work Sans"/>
          <w:color w:val="1D1D1B"/>
          <w:sz w:val="21"/>
          <w:szCs w:val="21"/>
          <w:lang w:val="en-US"/>
        </w:rPr>
        <w:t xml:space="preserve"> *The actual content of partially bio-based polyester and/or recycled polyester is indicated in the technical specifications of each product and is documented by internal </w:t>
      </w:r>
      <w:proofErr w:type="gramStart"/>
      <w:r w:rsidRPr="00890186">
        <w:rPr>
          <w:rFonts w:ascii="Work Sans" w:hAnsi="Work Sans"/>
          <w:color w:val="1D1D1B"/>
          <w:sz w:val="21"/>
          <w:szCs w:val="21"/>
          <w:lang w:val="en-US"/>
        </w:rPr>
        <w:t>evidences</w:t>
      </w:r>
      <w:proofErr w:type="gramEnd"/>
      <w:r w:rsidRPr="00890186">
        <w:rPr>
          <w:rFonts w:ascii="Work Sans" w:hAnsi="Work Sans"/>
          <w:color w:val="1D1D1B"/>
          <w:sz w:val="21"/>
          <w:szCs w:val="21"/>
          <w:lang w:val="en-US"/>
        </w:rPr>
        <w:t>.</w:t>
      </w:r>
    </w:p>
    <w:p w14:paraId="11940589" w14:textId="77777777" w:rsidR="00890186" w:rsidRPr="00890186" w:rsidRDefault="00890186" w:rsidP="00890186">
      <w:pPr>
        <w:jc w:val="both"/>
        <w:rPr>
          <w:rFonts w:ascii="Work Sans" w:hAnsi="Work Sans" w:cs="Calibri"/>
          <w:color w:val="000000"/>
          <w:lang w:val="en-US" w:eastAsia="it-IT"/>
        </w:rPr>
      </w:pPr>
    </w:p>
    <w:p w14:paraId="38295826" w14:textId="3B9FDF1D" w:rsidR="00890186" w:rsidRPr="00890186" w:rsidRDefault="00890186" w:rsidP="00890186">
      <w:pPr>
        <w:pStyle w:val="Paragrafoelenco"/>
        <w:numPr>
          <w:ilvl w:val="0"/>
          <w:numId w:val="4"/>
        </w:numPr>
        <w:contextualSpacing/>
        <w:jc w:val="center"/>
        <w:rPr>
          <w:rFonts w:ascii="Work Sans" w:hAnsi="Work Sans"/>
          <w:color w:val="000000"/>
          <w:lang w:eastAsia="it-IT"/>
        </w:rPr>
      </w:pPr>
      <w:r>
        <w:rPr>
          <w:rFonts w:ascii="Work Sans" w:hAnsi="Work Sans"/>
          <w:color w:val="000000"/>
          <w:lang w:eastAsia="it-IT"/>
        </w:rPr>
        <w:t>END –</w:t>
      </w:r>
    </w:p>
    <w:p w14:paraId="26E5C8C4" w14:textId="77777777" w:rsidR="00EC6E30" w:rsidRDefault="00EC6E30" w:rsidP="00EC6E30">
      <w:pPr>
        <w:jc w:val="both"/>
        <w:rPr>
          <w:rFonts w:ascii="Myriad Pro" w:hAnsi="Myriad Pro"/>
          <w:b/>
          <w:bCs/>
          <w:sz w:val="20"/>
          <w:szCs w:val="20"/>
        </w:rPr>
      </w:pPr>
    </w:p>
    <w:p w14:paraId="5853C89D" w14:textId="77777777" w:rsidR="00EC6E30" w:rsidRDefault="00EC6E30" w:rsidP="00EC6E30">
      <w:pPr>
        <w:jc w:val="both"/>
        <w:rPr>
          <w:rFonts w:ascii="Myriad Pro" w:hAnsi="Myriad Pro"/>
          <w:b/>
          <w:bCs/>
          <w:sz w:val="20"/>
          <w:szCs w:val="20"/>
        </w:rPr>
      </w:pPr>
    </w:p>
    <w:p w14:paraId="21441ED5" w14:textId="77777777" w:rsidR="00EC6E30" w:rsidRPr="00070828" w:rsidRDefault="00EC6E30" w:rsidP="00EC6E30">
      <w:pPr>
        <w:jc w:val="both"/>
        <w:rPr>
          <w:rFonts w:ascii="Work Sans" w:hAnsi="Work Sans"/>
          <w:b/>
          <w:bCs/>
          <w:sz w:val="18"/>
          <w:szCs w:val="18"/>
        </w:rPr>
      </w:pPr>
      <w:r w:rsidRPr="00070828">
        <w:rPr>
          <w:rFonts w:ascii="Work Sans" w:hAnsi="Work Sans"/>
          <w:b/>
          <w:bCs/>
          <w:sz w:val="18"/>
          <w:szCs w:val="18"/>
        </w:rPr>
        <w:t xml:space="preserve">Alcantara S.p.A. – </w:t>
      </w:r>
      <w:hyperlink r:id="rId9" w:history="1">
        <w:r w:rsidRPr="00070828">
          <w:rPr>
            <w:rStyle w:val="Collegamentoipertestuale"/>
            <w:rFonts w:ascii="Work Sans" w:hAnsi="Work Sans"/>
            <w:b/>
            <w:bCs/>
            <w:sz w:val="18"/>
            <w:szCs w:val="18"/>
          </w:rPr>
          <w:t>www.alcantara.com</w:t>
        </w:r>
      </w:hyperlink>
    </w:p>
    <w:p w14:paraId="3B8F1352" w14:textId="77777777" w:rsidR="00300E3E" w:rsidRDefault="00300E3E" w:rsidP="00300E3E">
      <w:pPr>
        <w:jc w:val="both"/>
        <w:rPr>
          <w:rFonts w:ascii="Work Sans" w:hAnsi="Work Sans"/>
          <w:sz w:val="18"/>
          <w:szCs w:val="18"/>
        </w:rPr>
      </w:pPr>
    </w:p>
    <w:p w14:paraId="02A27CDF" w14:textId="77777777" w:rsidR="00817455" w:rsidRPr="001A080B" w:rsidRDefault="00817455" w:rsidP="00817455">
      <w:pPr>
        <w:jc w:val="both"/>
        <w:rPr>
          <w:rFonts w:ascii="Work Sans" w:hAnsi="Work Sans"/>
          <w:sz w:val="18"/>
          <w:lang w:val="en-US"/>
        </w:rPr>
      </w:pPr>
      <w:bookmarkStart w:id="4" w:name="_Hlk102987876"/>
      <w:r w:rsidRPr="001A080B">
        <w:rPr>
          <w:rFonts w:ascii="Work Sans" w:hAnsi="Work Sans"/>
          <w:sz w:val="18"/>
          <w:lang w:val="en-US"/>
        </w:rPr>
        <w:t>Founded in 1972, Alcantara represents one of the leading Made in Italy brands. A registered trademark of Alcantara S.p.A. and the result of unique and proprietary technology, Alcantara</w:t>
      </w:r>
      <w:r w:rsidRPr="001A080B">
        <w:rPr>
          <w:rFonts w:ascii="Work Sans" w:hAnsi="Work Sans"/>
          <w:sz w:val="18"/>
          <w:vertAlign w:val="superscript"/>
          <w:lang w:val="en-US"/>
        </w:rPr>
        <w:t>®</w:t>
      </w:r>
      <w:r w:rsidRPr="001A080B">
        <w:rPr>
          <w:rFonts w:ascii="Work Sans" w:hAnsi="Work Sans"/>
          <w:sz w:val="18"/>
          <w:lang w:val="en-US"/>
        </w:rPr>
        <w:t xml:space="preserve">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Since 2009 Alcantara has been certified as “Carbon Neutral”, having defined, </w:t>
      </w:r>
      <w:proofErr w:type="gramStart"/>
      <w:r w:rsidRPr="001A080B">
        <w:rPr>
          <w:rFonts w:ascii="Work Sans" w:hAnsi="Work Sans"/>
          <w:sz w:val="18"/>
          <w:lang w:val="en-US"/>
        </w:rPr>
        <w:t>reduced</w:t>
      </w:r>
      <w:proofErr w:type="gramEnd"/>
      <w:r w:rsidRPr="001A080B">
        <w:rPr>
          <w:rFonts w:ascii="Work Sans" w:hAnsi="Work Sans"/>
          <w:sz w:val="18"/>
          <w:lang w:val="en-US"/>
        </w:rPr>
        <w:t xml:space="preserve"> and offset all the CO</w:t>
      </w:r>
      <w:r w:rsidRPr="001A080B">
        <w:rPr>
          <w:rFonts w:ascii="Work Sans" w:hAnsi="Work Sans"/>
          <w:sz w:val="18"/>
          <w:vertAlign w:val="subscript"/>
          <w:lang w:val="en-US"/>
        </w:rPr>
        <w:t xml:space="preserve">2 </w:t>
      </w:r>
      <w:r w:rsidRPr="001A080B">
        <w:rPr>
          <w:rFonts w:ascii="Work Sans" w:hAnsi="Work Sans"/>
          <w:sz w:val="18"/>
          <w:lang w:val="en-US"/>
        </w:rPr>
        <w:t xml:space="preserve">emissions deriving from its activity, including not only the production process, but also use and disposal of the product itself (“from cradle to grave”). To document its progress in this area, Alcantara annually prepares and publishes a Sustainability Report, certified by BDO and available on the company's website. Alcantara's headquarters are in Milan, while the production plant and research </w:t>
      </w:r>
      <w:proofErr w:type="spellStart"/>
      <w:r w:rsidRPr="001A080B">
        <w:rPr>
          <w:rFonts w:ascii="Work Sans" w:hAnsi="Work Sans"/>
          <w:sz w:val="18"/>
          <w:lang w:val="en-US"/>
        </w:rPr>
        <w:t>centre</w:t>
      </w:r>
      <w:proofErr w:type="spellEnd"/>
      <w:r w:rsidRPr="001A080B">
        <w:rPr>
          <w:rFonts w:ascii="Work Sans" w:hAnsi="Work Sans"/>
          <w:sz w:val="18"/>
          <w:lang w:val="en-US"/>
        </w:rPr>
        <w:t xml:space="preserve"> are in Nera Montoro, in the heart of Umbria (Terni).</w:t>
      </w:r>
    </w:p>
    <w:p w14:paraId="7D27A205" w14:textId="747F83FD" w:rsidR="00300E3E" w:rsidRPr="001A080B" w:rsidRDefault="00300E3E" w:rsidP="001671F2">
      <w:pPr>
        <w:jc w:val="both"/>
        <w:rPr>
          <w:rFonts w:ascii="Work Sans" w:hAnsi="Work Sans"/>
          <w:sz w:val="18"/>
          <w:szCs w:val="18"/>
          <w:lang w:val="en-US"/>
        </w:rPr>
      </w:pPr>
    </w:p>
    <w:bookmarkEnd w:id="4"/>
    <w:p w14:paraId="1FC353D9" w14:textId="77777777" w:rsidR="00300E3E" w:rsidRPr="001A080B" w:rsidRDefault="00300E3E" w:rsidP="001671F2">
      <w:pPr>
        <w:jc w:val="both"/>
        <w:rPr>
          <w:rFonts w:ascii="Work Sans" w:hAnsi="Work Sans"/>
          <w:sz w:val="18"/>
          <w:szCs w:val="18"/>
          <w:lang w:val="en-US"/>
        </w:rPr>
      </w:pPr>
    </w:p>
    <w:p w14:paraId="01256C9E" w14:textId="77777777" w:rsidR="001671F2" w:rsidRPr="001A080B" w:rsidRDefault="001671F2" w:rsidP="001671F2">
      <w:pPr>
        <w:jc w:val="center"/>
        <w:rPr>
          <w:rFonts w:ascii="Work Sans" w:hAnsi="Work Sans"/>
          <w:sz w:val="18"/>
          <w:szCs w:val="18"/>
          <w:lang w:val="en-US"/>
        </w:rPr>
      </w:pPr>
      <w:bookmarkStart w:id="5" w:name="_Hlk108512073"/>
      <w:r w:rsidRPr="001A080B">
        <w:rPr>
          <w:rFonts w:ascii="Work Sans" w:hAnsi="Work Sans"/>
          <w:sz w:val="18"/>
          <w:szCs w:val="18"/>
          <w:lang w:val="en-US"/>
        </w:rPr>
        <w:t>For further information:</w:t>
      </w:r>
    </w:p>
    <w:p w14:paraId="13C4916A" w14:textId="04A64CDF" w:rsidR="001671F2" w:rsidRDefault="00A776F0" w:rsidP="001671F2">
      <w:pPr>
        <w:jc w:val="center"/>
        <w:rPr>
          <w:rFonts w:ascii="Work Sans" w:hAnsi="Work Sans"/>
          <w:sz w:val="18"/>
          <w:szCs w:val="18"/>
          <w:lang w:val="en-US"/>
        </w:rPr>
      </w:pPr>
      <w:hyperlink r:id="rId10" w:history="1">
        <w:r w:rsidR="001A080B" w:rsidRPr="001A080B">
          <w:rPr>
            <w:rStyle w:val="Collegamentoipertestuale"/>
            <w:rFonts w:ascii="Work Sans" w:hAnsi="Work Sans"/>
            <w:sz w:val="18"/>
            <w:szCs w:val="18"/>
            <w:lang w:val="en-US"/>
          </w:rPr>
          <w:t>https://www.alcantara.com/</w:t>
        </w:r>
      </w:hyperlink>
    </w:p>
    <w:p w14:paraId="7ADFC965" w14:textId="11FA320D" w:rsidR="001A080B" w:rsidRPr="001A080B" w:rsidRDefault="00A776F0" w:rsidP="001A080B">
      <w:pPr>
        <w:jc w:val="center"/>
        <w:rPr>
          <w:rFonts w:ascii="Myriad Pro" w:hAnsi="Myriad Pro"/>
          <w:sz w:val="20"/>
          <w:szCs w:val="20"/>
          <w:lang w:val="en-US"/>
        </w:rPr>
      </w:pPr>
      <w:hyperlink r:id="rId11" w:history="1">
        <w:r w:rsidR="001A080B" w:rsidRPr="001A080B">
          <w:rPr>
            <w:rStyle w:val="Collegamentoipertestuale"/>
            <w:rFonts w:ascii="Work Sans" w:hAnsi="Work Sans"/>
            <w:sz w:val="18"/>
            <w:szCs w:val="18"/>
            <w:lang w:val="en-US"/>
          </w:rPr>
          <w:t>instagram.com/</w:t>
        </w:r>
        <w:proofErr w:type="spellStart"/>
        <w:r w:rsidR="001A080B" w:rsidRPr="001A080B">
          <w:rPr>
            <w:rStyle w:val="Collegamentoipertestuale"/>
            <w:rFonts w:ascii="Work Sans" w:hAnsi="Work Sans"/>
            <w:sz w:val="18"/>
            <w:szCs w:val="18"/>
            <w:lang w:val="en-US"/>
          </w:rPr>
          <w:t>alcantara_company</w:t>
        </w:r>
        <w:proofErr w:type="spellEnd"/>
        <w:r w:rsidR="001A080B" w:rsidRPr="001A080B">
          <w:rPr>
            <w:rStyle w:val="Collegamentoipertestuale"/>
            <w:rFonts w:ascii="Work Sans" w:hAnsi="Work Sans"/>
            <w:sz w:val="18"/>
            <w:szCs w:val="18"/>
            <w:lang w:val="en-US"/>
          </w:rPr>
          <w:t>/</w:t>
        </w:r>
      </w:hyperlink>
    </w:p>
    <w:p w14:paraId="770B42D5" w14:textId="2997848E" w:rsidR="001671F2" w:rsidRPr="001A080B" w:rsidRDefault="00A776F0" w:rsidP="001671F2">
      <w:pPr>
        <w:jc w:val="center"/>
        <w:rPr>
          <w:rFonts w:ascii="Work Sans" w:hAnsi="Work Sans"/>
          <w:sz w:val="18"/>
          <w:szCs w:val="18"/>
          <w:lang w:val="en-US"/>
        </w:rPr>
      </w:pPr>
      <w:hyperlink r:id="rId12" w:history="1">
        <w:r w:rsidR="001671F2" w:rsidRPr="001A080B">
          <w:rPr>
            <w:rStyle w:val="Collegamentoipertestuale"/>
            <w:rFonts w:ascii="Work Sans" w:hAnsi="Work Sans"/>
            <w:sz w:val="18"/>
            <w:szCs w:val="18"/>
            <w:lang w:val="en-US"/>
          </w:rPr>
          <w:t>twitter.com/</w:t>
        </w:r>
        <w:proofErr w:type="spellStart"/>
        <w:r w:rsidR="001671F2" w:rsidRPr="001A080B">
          <w:rPr>
            <w:rStyle w:val="Collegamentoipertestuale"/>
            <w:rFonts w:ascii="Work Sans" w:hAnsi="Work Sans"/>
            <w:sz w:val="18"/>
            <w:szCs w:val="18"/>
            <w:lang w:val="en-US"/>
          </w:rPr>
          <w:t>alcantaraspa</w:t>
        </w:r>
        <w:proofErr w:type="spellEnd"/>
      </w:hyperlink>
    </w:p>
    <w:p w14:paraId="060FDAFC" w14:textId="7168D9AC" w:rsidR="001671F2" w:rsidRPr="001A080B" w:rsidRDefault="00A776F0" w:rsidP="001671F2">
      <w:pPr>
        <w:jc w:val="center"/>
        <w:rPr>
          <w:rFonts w:ascii="Work Sans" w:hAnsi="Work Sans"/>
          <w:sz w:val="18"/>
          <w:szCs w:val="18"/>
          <w:lang w:val="en-US"/>
        </w:rPr>
      </w:pPr>
      <w:hyperlink r:id="rId13" w:history="1">
        <w:r w:rsidR="001671F2" w:rsidRPr="001A080B">
          <w:rPr>
            <w:rStyle w:val="Collegamentoipertestuale"/>
            <w:rFonts w:ascii="Work Sans" w:hAnsi="Work Sans"/>
            <w:sz w:val="18"/>
            <w:szCs w:val="18"/>
            <w:lang w:val="en-US"/>
          </w:rPr>
          <w:t>facebook.com/</w:t>
        </w:r>
        <w:proofErr w:type="spellStart"/>
        <w:r w:rsidR="001671F2" w:rsidRPr="001A080B">
          <w:rPr>
            <w:rStyle w:val="Collegamentoipertestuale"/>
            <w:rFonts w:ascii="Work Sans" w:hAnsi="Work Sans"/>
            <w:sz w:val="18"/>
            <w:szCs w:val="18"/>
            <w:lang w:val="en-US"/>
          </w:rPr>
          <w:t>alcantara.company</w:t>
        </w:r>
        <w:proofErr w:type="spellEnd"/>
      </w:hyperlink>
    </w:p>
    <w:p w14:paraId="29509924" w14:textId="14F3F9C2" w:rsidR="001671F2" w:rsidRPr="001A080B" w:rsidRDefault="00A776F0" w:rsidP="001671F2">
      <w:pPr>
        <w:jc w:val="center"/>
        <w:rPr>
          <w:rFonts w:ascii="Work Sans" w:hAnsi="Work Sans"/>
          <w:sz w:val="18"/>
          <w:szCs w:val="18"/>
          <w:lang w:val="en-US"/>
        </w:rPr>
      </w:pPr>
      <w:hyperlink r:id="rId14" w:history="1">
        <w:r w:rsidR="001671F2" w:rsidRPr="001A080B">
          <w:rPr>
            <w:rStyle w:val="Collegamentoipertestuale"/>
            <w:rFonts w:ascii="Work Sans" w:hAnsi="Work Sans"/>
            <w:sz w:val="18"/>
            <w:szCs w:val="18"/>
            <w:lang w:val="en-US"/>
          </w:rPr>
          <w:t>youtube.com/</w:t>
        </w:r>
        <w:proofErr w:type="spellStart"/>
        <w:r w:rsidR="001671F2" w:rsidRPr="001A080B">
          <w:rPr>
            <w:rStyle w:val="Collegamentoipertestuale"/>
            <w:rFonts w:ascii="Work Sans" w:hAnsi="Work Sans"/>
            <w:sz w:val="18"/>
            <w:szCs w:val="18"/>
            <w:lang w:val="en-US"/>
          </w:rPr>
          <w:t>alcantaracompany</w:t>
        </w:r>
        <w:proofErr w:type="spellEnd"/>
      </w:hyperlink>
    </w:p>
    <w:p w14:paraId="1404F9BF" w14:textId="36176A67" w:rsidR="004D2C12" w:rsidRPr="00070828" w:rsidRDefault="00070828" w:rsidP="00070828">
      <w:pPr>
        <w:jc w:val="center"/>
        <w:rPr>
          <w:rFonts w:ascii="Work Sans" w:hAnsi="Work Sans" w:cs="Calibri"/>
          <w:b/>
          <w:bCs/>
          <w:color w:val="222222"/>
          <w:sz w:val="18"/>
          <w:szCs w:val="18"/>
          <w:lang w:val="en-US" w:eastAsia="it-IT"/>
        </w:rPr>
      </w:pPr>
      <w:r w:rsidRPr="00070828">
        <w:rPr>
          <w:rFonts w:ascii="Work Sans" w:hAnsi="Work Sans"/>
          <w:sz w:val="18"/>
          <w:szCs w:val="18"/>
          <w:lang w:val="en-US"/>
        </w:rPr>
        <w:t xml:space="preserve">Press kit: </w:t>
      </w:r>
      <w:hyperlink r:id="rId15" w:history="1">
        <w:r w:rsidRPr="001A080B">
          <w:rPr>
            <w:rStyle w:val="Collegamentoipertestuale"/>
            <w:rFonts w:ascii="Work Sans" w:hAnsi="Work Sans"/>
            <w:sz w:val="18"/>
            <w:szCs w:val="18"/>
            <w:lang w:val="en-US"/>
          </w:rPr>
          <w:t>https://www.alcantara.com/press-area/</w:t>
        </w:r>
      </w:hyperlink>
    </w:p>
    <w:bookmarkEnd w:id="0"/>
    <w:bookmarkEnd w:id="1"/>
    <w:bookmarkEnd w:id="5"/>
    <w:p w14:paraId="196C612D" w14:textId="0588FE96" w:rsidR="003812B0" w:rsidRPr="004409FC" w:rsidRDefault="003812B0" w:rsidP="002E0DC9">
      <w:pPr>
        <w:jc w:val="center"/>
        <w:rPr>
          <w:lang w:val="en-US"/>
        </w:rPr>
      </w:pPr>
    </w:p>
    <w:sectPr w:rsidR="003812B0" w:rsidRPr="004409FC" w:rsidSect="0025655A">
      <w:headerReference w:type="default" r:id="rId16"/>
      <w:footerReference w:type="default" r:id="rId17"/>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CA826" w14:textId="77777777" w:rsidR="001A3F9B" w:rsidRDefault="001A3F9B" w:rsidP="00D174FA">
      <w:pPr>
        <w:spacing w:after="0" w:line="240" w:lineRule="auto"/>
      </w:pPr>
      <w:r>
        <w:separator/>
      </w:r>
    </w:p>
  </w:endnote>
  <w:endnote w:type="continuationSeparator" w:id="0">
    <w:p w14:paraId="4EFCDAD1" w14:textId="77777777" w:rsidR="001A3F9B" w:rsidRDefault="001A3F9B" w:rsidP="00D1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ork Sans">
    <w:altName w:val="Work Sans"/>
    <w:charset w:val="00"/>
    <w:family w:val="auto"/>
    <w:pitch w:val="variable"/>
    <w:sig w:usb0="A00000FF" w:usb1="5000E07B" w:usb2="00000000" w:usb3="00000000" w:csb0="00000193"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21488"/>
      <w:docPartObj>
        <w:docPartGallery w:val="Page Numbers (Bottom of Page)"/>
        <w:docPartUnique/>
      </w:docPartObj>
    </w:sdtPr>
    <w:sdtEndPr>
      <w:rPr>
        <w:noProof/>
      </w:rPr>
    </w:sdtEndPr>
    <w:sdtContent>
      <w:p w14:paraId="1947369F" w14:textId="1AA4F5E5" w:rsidR="00833432" w:rsidRDefault="00833432">
        <w:pPr>
          <w:pStyle w:val="Pidipagina"/>
          <w:jc w:val="center"/>
        </w:pPr>
        <w:r>
          <w:fldChar w:fldCharType="begin"/>
        </w:r>
        <w:r>
          <w:instrText xml:space="preserve"> PAGE   \* MERGEFORMAT </w:instrText>
        </w:r>
        <w:r>
          <w:fldChar w:fldCharType="separate"/>
        </w:r>
        <w:r w:rsidR="0069745A">
          <w:rPr>
            <w:noProof/>
          </w:rPr>
          <w:t>1</w:t>
        </w:r>
        <w:r>
          <w:rPr>
            <w:noProof/>
          </w:rPr>
          <w:fldChar w:fldCharType="end"/>
        </w:r>
      </w:p>
    </w:sdtContent>
  </w:sdt>
  <w:p w14:paraId="7CA91FD0"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A6606" w14:textId="77777777" w:rsidR="001A3F9B" w:rsidRDefault="001A3F9B" w:rsidP="00D174FA">
      <w:pPr>
        <w:spacing w:after="0" w:line="240" w:lineRule="auto"/>
      </w:pPr>
      <w:r>
        <w:separator/>
      </w:r>
    </w:p>
  </w:footnote>
  <w:footnote w:type="continuationSeparator" w:id="0">
    <w:p w14:paraId="3F09BFA8" w14:textId="77777777" w:rsidR="001A3F9B" w:rsidRDefault="001A3F9B" w:rsidP="00D17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13DCC031">
          <wp:simplePos x="0" y="0"/>
          <wp:positionH relativeFrom="margin">
            <wp:posOffset>1518285</wp:posOffset>
          </wp:positionH>
          <wp:positionV relativeFrom="paragraph">
            <wp:posOffset>169545</wp:posOffset>
          </wp:positionV>
          <wp:extent cx="3295650" cy="703580"/>
          <wp:effectExtent l="0" t="0" r="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D37D5"/>
    <w:multiLevelType w:val="hybridMultilevel"/>
    <w:tmpl w:val="9F88A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EFE3EFB"/>
    <w:multiLevelType w:val="hybridMultilevel"/>
    <w:tmpl w:val="E19A5B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52276FDF"/>
    <w:multiLevelType w:val="hybridMultilevel"/>
    <w:tmpl w:val="B3C28D62"/>
    <w:lvl w:ilvl="0" w:tplc="5AB2C944">
      <w:start w:val="20"/>
      <w:numFmt w:val="bullet"/>
      <w:lvlText w:val="-"/>
      <w:lvlJc w:val="left"/>
      <w:pPr>
        <w:ind w:left="720" w:hanging="360"/>
      </w:pPr>
      <w:rPr>
        <w:rFonts w:ascii="Work Sans" w:eastAsia="Times New Roman" w:hAnsi="Work San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4D74020"/>
    <w:multiLevelType w:val="hybridMultilevel"/>
    <w:tmpl w:val="08B0A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75396951">
    <w:abstractNumId w:val="1"/>
  </w:num>
  <w:num w:numId="2" w16cid:durableId="1702439373">
    <w:abstractNumId w:val="0"/>
  </w:num>
  <w:num w:numId="3" w16cid:durableId="1206674428">
    <w:abstractNumId w:val="3"/>
  </w:num>
  <w:num w:numId="4" w16cid:durableId="1839153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16AFE"/>
    <w:rsid w:val="000211D5"/>
    <w:rsid w:val="00025FB4"/>
    <w:rsid w:val="00030026"/>
    <w:rsid w:val="00035397"/>
    <w:rsid w:val="00036615"/>
    <w:rsid w:val="000541AB"/>
    <w:rsid w:val="00062C3F"/>
    <w:rsid w:val="00070828"/>
    <w:rsid w:val="00073FB6"/>
    <w:rsid w:val="000752A3"/>
    <w:rsid w:val="000960B6"/>
    <w:rsid w:val="000A0004"/>
    <w:rsid w:val="000A6184"/>
    <w:rsid w:val="000B2301"/>
    <w:rsid w:val="000B6A80"/>
    <w:rsid w:val="000E35D3"/>
    <w:rsid w:val="0010420D"/>
    <w:rsid w:val="00105EDA"/>
    <w:rsid w:val="001108A3"/>
    <w:rsid w:val="0011516D"/>
    <w:rsid w:val="00115638"/>
    <w:rsid w:val="00117205"/>
    <w:rsid w:val="00121E7E"/>
    <w:rsid w:val="00146AB8"/>
    <w:rsid w:val="00166938"/>
    <w:rsid w:val="001671F2"/>
    <w:rsid w:val="00182965"/>
    <w:rsid w:val="001A080B"/>
    <w:rsid w:val="001A2C6C"/>
    <w:rsid w:val="001A3F9B"/>
    <w:rsid w:val="001A708E"/>
    <w:rsid w:val="001B2F81"/>
    <w:rsid w:val="001C2ADF"/>
    <w:rsid w:val="001D6C93"/>
    <w:rsid w:val="001E3C94"/>
    <w:rsid w:val="001F6606"/>
    <w:rsid w:val="00212A7B"/>
    <w:rsid w:val="00221612"/>
    <w:rsid w:val="00230899"/>
    <w:rsid w:val="00231860"/>
    <w:rsid w:val="00234DE4"/>
    <w:rsid w:val="00254928"/>
    <w:rsid w:val="0025655A"/>
    <w:rsid w:val="002614DD"/>
    <w:rsid w:val="00262F31"/>
    <w:rsid w:val="00270E2D"/>
    <w:rsid w:val="00280462"/>
    <w:rsid w:val="00285644"/>
    <w:rsid w:val="00295BAF"/>
    <w:rsid w:val="002A5C60"/>
    <w:rsid w:val="002B78BB"/>
    <w:rsid w:val="002C34F6"/>
    <w:rsid w:val="002C5403"/>
    <w:rsid w:val="002D1E2A"/>
    <w:rsid w:val="002D3D26"/>
    <w:rsid w:val="002D49D2"/>
    <w:rsid w:val="002E0DC9"/>
    <w:rsid w:val="00300E3E"/>
    <w:rsid w:val="00311AD1"/>
    <w:rsid w:val="003126BD"/>
    <w:rsid w:val="00316C32"/>
    <w:rsid w:val="003547D1"/>
    <w:rsid w:val="00380C7B"/>
    <w:rsid w:val="00381167"/>
    <w:rsid w:val="003812B0"/>
    <w:rsid w:val="0038739B"/>
    <w:rsid w:val="00396E5A"/>
    <w:rsid w:val="003A06EF"/>
    <w:rsid w:val="003A08F9"/>
    <w:rsid w:val="003B4654"/>
    <w:rsid w:val="003C59D6"/>
    <w:rsid w:val="003E37A3"/>
    <w:rsid w:val="003E388A"/>
    <w:rsid w:val="003F015F"/>
    <w:rsid w:val="003F067A"/>
    <w:rsid w:val="00405F92"/>
    <w:rsid w:val="00414E46"/>
    <w:rsid w:val="004409FC"/>
    <w:rsid w:val="00450497"/>
    <w:rsid w:val="00467FE7"/>
    <w:rsid w:val="00481722"/>
    <w:rsid w:val="00487A4C"/>
    <w:rsid w:val="004A30B8"/>
    <w:rsid w:val="004B3615"/>
    <w:rsid w:val="004B4DFA"/>
    <w:rsid w:val="004C2281"/>
    <w:rsid w:val="004C50E3"/>
    <w:rsid w:val="004C579F"/>
    <w:rsid w:val="004D2C12"/>
    <w:rsid w:val="004E7C92"/>
    <w:rsid w:val="00531770"/>
    <w:rsid w:val="00553076"/>
    <w:rsid w:val="00556D49"/>
    <w:rsid w:val="005617A5"/>
    <w:rsid w:val="00574BCB"/>
    <w:rsid w:val="00581F5E"/>
    <w:rsid w:val="00592027"/>
    <w:rsid w:val="00596947"/>
    <w:rsid w:val="005B0CE6"/>
    <w:rsid w:val="005B39E4"/>
    <w:rsid w:val="005C6445"/>
    <w:rsid w:val="005F0919"/>
    <w:rsid w:val="005F1982"/>
    <w:rsid w:val="006033A2"/>
    <w:rsid w:val="00603C32"/>
    <w:rsid w:val="00604FA9"/>
    <w:rsid w:val="006161DF"/>
    <w:rsid w:val="006365F2"/>
    <w:rsid w:val="00661A18"/>
    <w:rsid w:val="00673F4D"/>
    <w:rsid w:val="00694FCE"/>
    <w:rsid w:val="0069745A"/>
    <w:rsid w:val="006A498B"/>
    <w:rsid w:val="006B5C2E"/>
    <w:rsid w:val="006C5ABD"/>
    <w:rsid w:val="006D04C3"/>
    <w:rsid w:val="006D07FE"/>
    <w:rsid w:val="006D1A55"/>
    <w:rsid w:val="006D72F2"/>
    <w:rsid w:val="006F3D4A"/>
    <w:rsid w:val="006F5ACC"/>
    <w:rsid w:val="006F7354"/>
    <w:rsid w:val="00706A64"/>
    <w:rsid w:val="00713573"/>
    <w:rsid w:val="007237CF"/>
    <w:rsid w:val="00723972"/>
    <w:rsid w:val="00723AE0"/>
    <w:rsid w:val="00733386"/>
    <w:rsid w:val="00740FCA"/>
    <w:rsid w:val="00741CFB"/>
    <w:rsid w:val="00743305"/>
    <w:rsid w:val="00744AA5"/>
    <w:rsid w:val="007602ED"/>
    <w:rsid w:val="00760496"/>
    <w:rsid w:val="007A024F"/>
    <w:rsid w:val="007A451E"/>
    <w:rsid w:val="007B1487"/>
    <w:rsid w:val="007C3EF4"/>
    <w:rsid w:val="007C48F2"/>
    <w:rsid w:val="007D523C"/>
    <w:rsid w:val="007E4C3A"/>
    <w:rsid w:val="007E71C1"/>
    <w:rsid w:val="007F4B2C"/>
    <w:rsid w:val="0080343C"/>
    <w:rsid w:val="00811FE8"/>
    <w:rsid w:val="00817455"/>
    <w:rsid w:val="0082227B"/>
    <w:rsid w:val="00824AB4"/>
    <w:rsid w:val="00830DC2"/>
    <w:rsid w:val="008326CE"/>
    <w:rsid w:val="00833432"/>
    <w:rsid w:val="00837738"/>
    <w:rsid w:val="008412B0"/>
    <w:rsid w:val="0084156C"/>
    <w:rsid w:val="00853965"/>
    <w:rsid w:val="008558AC"/>
    <w:rsid w:val="00873346"/>
    <w:rsid w:val="0087497B"/>
    <w:rsid w:val="00883E3A"/>
    <w:rsid w:val="00885F4E"/>
    <w:rsid w:val="00890186"/>
    <w:rsid w:val="008A3BE3"/>
    <w:rsid w:val="008A4A29"/>
    <w:rsid w:val="008B58F2"/>
    <w:rsid w:val="008C3E11"/>
    <w:rsid w:val="008D6E04"/>
    <w:rsid w:val="008E7EC9"/>
    <w:rsid w:val="008F2521"/>
    <w:rsid w:val="008F4B3D"/>
    <w:rsid w:val="00900F58"/>
    <w:rsid w:val="00923395"/>
    <w:rsid w:val="00945999"/>
    <w:rsid w:val="00946132"/>
    <w:rsid w:val="0095043B"/>
    <w:rsid w:val="00997F2C"/>
    <w:rsid w:val="009D4346"/>
    <w:rsid w:val="00A03408"/>
    <w:rsid w:val="00A156D8"/>
    <w:rsid w:val="00A4474C"/>
    <w:rsid w:val="00A523A7"/>
    <w:rsid w:val="00A71096"/>
    <w:rsid w:val="00A735A2"/>
    <w:rsid w:val="00A75105"/>
    <w:rsid w:val="00A7543E"/>
    <w:rsid w:val="00A776F0"/>
    <w:rsid w:val="00A95536"/>
    <w:rsid w:val="00AB3FE4"/>
    <w:rsid w:val="00AB5E48"/>
    <w:rsid w:val="00AC2079"/>
    <w:rsid w:val="00AC458B"/>
    <w:rsid w:val="00AC4E72"/>
    <w:rsid w:val="00AD479F"/>
    <w:rsid w:val="00AD4ED4"/>
    <w:rsid w:val="00AF3C9D"/>
    <w:rsid w:val="00B04D6C"/>
    <w:rsid w:val="00B12EB6"/>
    <w:rsid w:val="00B47AC1"/>
    <w:rsid w:val="00B81EEB"/>
    <w:rsid w:val="00B863EA"/>
    <w:rsid w:val="00BA45C2"/>
    <w:rsid w:val="00BA7293"/>
    <w:rsid w:val="00BC6EF3"/>
    <w:rsid w:val="00BD094E"/>
    <w:rsid w:val="00BD5E3A"/>
    <w:rsid w:val="00BE6503"/>
    <w:rsid w:val="00BF0CCA"/>
    <w:rsid w:val="00C11935"/>
    <w:rsid w:val="00C33EC8"/>
    <w:rsid w:val="00C4428A"/>
    <w:rsid w:val="00C51748"/>
    <w:rsid w:val="00C62EC4"/>
    <w:rsid w:val="00C8033A"/>
    <w:rsid w:val="00C90325"/>
    <w:rsid w:val="00C966A1"/>
    <w:rsid w:val="00CD7B62"/>
    <w:rsid w:val="00CE5862"/>
    <w:rsid w:val="00CF49FA"/>
    <w:rsid w:val="00D174FA"/>
    <w:rsid w:val="00D22699"/>
    <w:rsid w:val="00D22C6E"/>
    <w:rsid w:val="00D31F83"/>
    <w:rsid w:val="00D44B90"/>
    <w:rsid w:val="00D51462"/>
    <w:rsid w:val="00D56CCC"/>
    <w:rsid w:val="00D64A88"/>
    <w:rsid w:val="00D65839"/>
    <w:rsid w:val="00D80F5D"/>
    <w:rsid w:val="00D84FD2"/>
    <w:rsid w:val="00D94D8F"/>
    <w:rsid w:val="00DD31A5"/>
    <w:rsid w:val="00DE47FB"/>
    <w:rsid w:val="00DE5001"/>
    <w:rsid w:val="00DF1D0F"/>
    <w:rsid w:val="00DF53A8"/>
    <w:rsid w:val="00E325CF"/>
    <w:rsid w:val="00E4175B"/>
    <w:rsid w:val="00E458D3"/>
    <w:rsid w:val="00E51EEA"/>
    <w:rsid w:val="00E57444"/>
    <w:rsid w:val="00E768A1"/>
    <w:rsid w:val="00E8254A"/>
    <w:rsid w:val="00EA51A0"/>
    <w:rsid w:val="00EA5710"/>
    <w:rsid w:val="00EA6F58"/>
    <w:rsid w:val="00EB0724"/>
    <w:rsid w:val="00EC6E30"/>
    <w:rsid w:val="00EC7F6C"/>
    <w:rsid w:val="00EE4281"/>
    <w:rsid w:val="00EE45A1"/>
    <w:rsid w:val="00EF16B7"/>
    <w:rsid w:val="00EF458A"/>
    <w:rsid w:val="00F03FB6"/>
    <w:rsid w:val="00F0412E"/>
    <w:rsid w:val="00F12A4D"/>
    <w:rsid w:val="00F21BF0"/>
    <w:rsid w:val="00F3205C"/>
    <w:rsid w:val="00F36208"/>
    <w:rsid w:val="00F41B10"/>
    <w:rsid w:val="00F52152"/>
    <w:rsid w:val="00F526C1"/>
    <w:rsid w:val="00F60EE2"/>
    <w:rsid w:val="00F64D86"/>
    <w:rsid w:val="00F72777"/>
    <w:rsid w:val="00F74B79"/>
    <w:rsid w:val="00F75B82"/>
    <w:rsid w:val="00F811E9"/>
    <w:rsid w:val="00FA4DF4"/>
    <w:rsid w:val="00FC2337"/>
    <w:rsid w:val="00FC6B5C"/>
    <w:rsid w:val="00FC6EAB"/>
    <w:rsid w:val="00FD332C"/>
    <w:rsid w:val="00FD717F"/>
    <w:rsid w:val="00FE11B4"/>
    <w:rsid w:val="00FE2EE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1B4"/>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line="240" w:lineRule="auto"/>
    </w:pPr>
    <w:rPr>
      <w:rFonts w:ascii="Times New Roman" w:eastAsia="Times New Roman" w:hAnsi="Times New Roman" w:cs="Times New Roman"/>
      <w:sz w:val="24"/>
      <w:szCs w:val="24"/>
      <w:lang w:val="en-GB" w:eastAsia="it-IT"/>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spacing w:after="0" w:line="240" w:lineRule="auto"/>
    </w:pPr>
    <w:rPr>
      <w:lang w:val="en-GB"/>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spacing w:after="0" w:line="240" w:lineRule="auto"/>
    </w:pPr>
    <w:rPr>
      <w:lang w:val="en-GB"/>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spacing w:after="0" w:line="240" w:lineRule="auto"/>
    </w:pPr>
    <w:rPr>
      <w:rFonts w:ascii="Bodoni MT" w:hAnsi="Bodoni MT" w:cs="Calibri"/>
      <w:color w:val="000000"/>
      <w:sz w:val="24"/>
      <w:szCs w:val="24"/>
    </w:rPr>
  </w:style>
  <w:style w:type="paragraph" w:styleId="Testofumetto">
    <w:name w:val="Balloon Text"/>
    <w:basedOn w:val="Normale"/>
    <w:link w:val="TestofumettoCarattere"/>
    <w:uiPriority w:val="99"/>
    <w:semiHidden/>
    <w:unhideWhenUsed/>
    <w:rsid w:val="00AC20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spacing w:after="0" w:line="240" w:lineRule="auto"/>
      <w:ind w:left="720"/>
    </w:pPr>
    <w:rPr>
      <w:rFonts w:ascii="Calibri" w:hAnsi="Calibri" w:cs="Calibri"/>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253101249">
      <w:bodyDiv w:val="1"/>
      <w:marLeft w:val="0"/>
      <w:marRight w:val="0"/>
      <w:marTop w:val="0"/>
      <w:marBottom w:val="0"/>
      <w:divBdr>
        <w:top w:val="none" w:sz="0" w:space="0" w:color="auto"/>
        <w:left w:val="none" w:sz="0" w:space="0" w:color="auto"/>
        <w:bottom w:val="none" w:sz="0" w:space="0" w:color="auto"/>
        <w:right w:val="none" w:sz="0" w:space="0" w:color="auto"/>
      </w:divBdr>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975644">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784739625">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stainabilityreport.alcantara.com/" TargetMode="External"/><Relationship Id="rId13" Type="http://schemas.openxmlformats.org/officeDocument/2006/relationships/hyperlink" Target="https://www.facebook.com/Alcantara.Compan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alcantarasp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alcantara_company/" TargetMode="External"/><Relationship Id="rId5" Type="http://schemas.openxmlformats.org/officeDocument/2006/relationships/webSettings" Target="webSettings.xml"/><Relationship Id="rId15" Type="http://schemas.openxmlformats.org/officeDocument/2006/relationships/hyperlink" Target="https://www.alcantara.com/press-area/" TargetMode="External"/><Relationship Id="rId10" Type="http://schemas.openxmlformats.org/officeDocument/2006/relationships/hyperlink" Target="https://www.alcantara.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cantara.com" TargetMode="External"/><Relationship Id="rId14" Type="http://schemas.openxmlformats.org/officeDocument/2006/relationships/hyperlink" Target="https://www.youtube.com/user/AlcantaraCompany?app=deskt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1195F26A-6722-4ECD-9B9D-AFAB85F6167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974</Words>
  <Characters>5558</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Adasevic Jelena</cp:lastModifiedBy>
  <cp:revision>10</cp:revision>
  <cp:lastPrinted>2022-09-26T08:22:00Z</cp:lastPrinted>
  <dcterms:created xsi:type="dcterms:W3CDTF">2022-09-26T14:53:00Z</dcterms:created>
  <dcterms:modified xsi:type="dcterms:W3CDTF">2022-10-17T13:24:00Z</dcterms:modified>
</cp:coreProperties>
</file>